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附件3：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  <w:lang w:val="en-US" w:eastAsia="zh-CN"/>
        </w:rPr>
        <w:t>医用供气系统维保服务需求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44"/>
          <w:szCs w:val="44"/>
        </w:rPr>
      </w:pPr>
    </w:p>
    <w:p>
      <w:pPr>
        <w:pStyle w:val="7"/>
        <w:widowControl/>
        <w:spacing w:beforeAutospacing="0" w:afterAutospacing="0"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为确保医院内医用气体系统始终处于良好的运行状态，保证系统设备的工作指标符合YY/TO186《医用中心吸引系统通用技术条件》、YY/T0187《医用中心供氧系统通用技术条件》、GB9706.1-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2007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《医用电气设备第一部分：通用安全要求》，作如下维修、保养要求：</w:t>
      </w:r>
    </w:p>
    <w:p>
      <w:pPr>
        <w:pStyle w:val="7"/>
        <w:widowControl/>
        <w:numPr>
          <w:ilvl w:val="0"/>
          <w:numId w:val="1"/>
        </w:numPr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维保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范围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firstLine="240" w:firstLineChars="1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全院区内医用供气系统、各类ICU吊塔、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净化层流特殊装修区域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设备带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二、维保服务内容</w:t>
      </w:r>
    </w:p>
    <w:p>
      <w:pP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对招标人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院医用中心供氧系统、中心负压吸引系统、正压空气系统、汇流排系统中心站辅助设备、智能传呼对讲系统、设备带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、各类ICU吊塔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等设备进行专业保养维修工作。确保医用供气设备正常运行，医用气体系统专业设备</w:t>
      </w:r>
      <w:r>
        <w:rPr>
          <w:rFonts w:hint="eastAsia" w:ascii="宋体" w:hAnsi="宋体" w:cs="宋体"/>
          <w:b w:val="0"/>
          <w:bCs w:val="0"/>
          <w:color w:val="auto"/>
          <w:sz w:val="24"/>
          <w:lang w:val="en-US" w:eastAsia="zh-CN"/>
        </w:rPr>
        <w:t>在用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lang w:val="en-US" w:eastAsia="zh-CN"/>
        </w:rPr>
        <w:t>完好率 100%，维修及时率100%。</w:t>
      </w:r>
    </w:p>
    <w:p>
      <w:pPr>
        <w:pStyle w:val="7"/>
        <w:widowControl/>
        <w:spacing w:beforeAutospacing="0" w:afterAutospacing="0"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、维保范围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感染楼负压吸引机房、南楼负压吸引机房、南楼空气机房、口腔科抽吸机房、口腔科正压空气机房、液氧站、瓶氧站、手术室二氧化碳机房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的所有设备及相关管道、管件、阀门、压力表等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2、住院楼感染楼2126床，门诊医技楼657床，总计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氧气终端2783只、吸引终端2516只、空气终端131只、五孔插座5800个、单开关2100个、床头灯2100只、维修阀1060只、区域阀门箱63只、氧气流量器63套、氧气空气二级箱69个及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管道、管件、阀门、压力表等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山东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亚华呼叫系统总计49套，含呼叫分机2100个、主机49个、显示屏51个及紧急呼叫900个。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4、全院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手术室、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急诊及PICU\NICU\CCU\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ICU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塔吊</w:t>
      </w: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约150套。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lang w:val="en-US" w:eastAsia="zh-CN"/>
        </w:rPr>
        <w:t>5、</w:t>
      </w:r>
      <w:r>
        <w:rPr>
          <w:rFonts w:hint="eastAsia" w:eastAsia="宋体" w:cs="宋体"/>
          <w:b w:val="0"/>
          <w:bCs w:val="0"/>
          <w:color w:val="auto"/>
          <w:sz w:val="24"/>
          <w:szCs w:val="24"/>
          <w:lang w:val="en-US" w:eastAsia="zh-CN"/>
        </w:rPr>
        <w:t>净化层流特殊装修区域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设备带系统。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360" w:lineRule="auto"/>
        <w:ind w:left="420" w:leftChars="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四、维保内容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1、在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承包人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正式开始维保工作（维保合同签定之日起）后的一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内，对医院现存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医用供气系统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智能传呼对讲系统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存在问题及安全隐患进行一次全面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查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及维保。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每半年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安排专业技术人员对亚华牌护理通讯系统做一次全面的巡检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消除影响设备正常运行的隐患，减少设备故障发生率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并根据系统的运行情况提供合理的维保建议。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3、配合液氧灌装及对负压机房、瓶装气体机房、正压空气机房、液氧站、牙科抽吸机房进行日常巡检并详细记录。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4、瓶氧站瓶装气体收发运送及登记。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5、对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空压机组、负压吸引机组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氧气汇流排、液氧站、二氧化碳、液氮、笑气、氮气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呼叫系统等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专业设施设备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及配套管路、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阀门、压力表等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定期保养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总价包含提供所须的各类过滤器、滤芯、机油、润滑油、机滤、干燥剂等常用必备耗材（须为原机组品牌配套产品）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过滤器、滤芯、机油、润滑油、机滤、干燥剂等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须按照相关规范定期更换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6、完成医院液氧站、中心吸引系统、汇流排系统、正压空气系统、汇流排中专业配套设备、压力管路、压力阀门、压力仪表、气体终端（含设备带氧气维修阀、插座、开关、灯、氧气、负压、空气终端）、呼叫系统的巡查保养、及更换维修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按国家特种设备检验检测要求，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配合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发包人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完成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医疗气体系统压力容器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、压力表、安全阀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送检校验工作等（相关检测费、送检费用包含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在维修服务合同价款之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8、负责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专业技术支持咨询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突发应急抢修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，配合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发包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人完成相关应急演练。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9、完成全院手术室、急诊及PICU\NICU\CCU\ICU塔吊约150套吊塔及特殊装修设备带老化配件更换、定期巡检及故障抢修。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五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、付款方式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1、每半年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支付一次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发包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人组织维保工作考评合格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且收到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承包人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提供的足额正规发票后向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承包人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支付半年维保费用；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2、支付费用只包含维保人工费用及壹仟元（含1000元）以内的耗材配件费用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超过人民币壹仟元的耗材配件费用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不在维保服务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总价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需另付的维修更换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耗材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配件费用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必须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发包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审核确认且在收到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承包人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提供的足额正规发票后另行支付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给承包人，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但维修更换产生的人工费、机械费、税费和主材采保费等除主材费外的其他一切费用，均含在本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维保服务费用之内，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发包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不再另行支付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val="en-US" w:eastAsia="zh-CN"/>
        </w:rPr>
        <w:t>备注：承包人须在《报价模板表》中详细列出本项目维保所需1000元以上的维保耗材配件清单，若因承包人未在报价清单中列出但在将来维保过程中需要的，发包人可视为已包含在维保总报价中，发包人不再另行支付。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六、维保工作要求</w:t>
      </w:r>
    </w:p>
    <w:p>
      <w:pPr>
        <w:pStyle w:val="4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1、承包人在维保期内必须安排两位技术人员（年龄小于50岁，需持特种设备上岗证）定点在医院完成维修保养工作，确保每天24小时在岗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。因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维保技术人员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维保不力、操作不当等造成的人身伤害、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财产损失及对第三方造成的一切损失由承包人承担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2、确保机房换气、气瓶搬运、充装液氧过程的平稳安全并做好相关记录。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3、承包人对维保范围内，不分厂家、不分规格型号均有备件，确保维修问题能够迅速处理解决。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4、承包人发现系统、设备有重大安全质量隐患，应立即报告发包人相应归口管理部门，并针对故障问题提出解决方案供发包人参考决定。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5、承包人需建立维保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档案，包括：机组维保记录、呼叫系统检查维修更换记录、现场维修更换记录、季度检查报告等，纸质版及电子版报备发包人相应归口管理部门备案。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6、承包人提供的机组专业维保及系统专业设备维修所需配件及耗材，均为厂家合格产品，现场专有特定品牌的设备（如：空压机、真空泵及其配套设备等）须保证维修更换的为同品牌配套配件及耗材。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7、呼叫系统的维修保养所需配件均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为原厂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原装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配件。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8、承包人在得到发包人维修或应急指令，须立即赶至现场，并组织维修，排除故障。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9、发包人每半年进行一次考评，考评结果作为维保服务费用支付依据。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0000FF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C135BD"/>
    <w:multiLevelType w:val="singleLevel"/>
    <w:tmpl w:val="97C135B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zMmE1MDZlOGU4YjkzYjNmOTE3MzEzNmE3ZmM3OWUifQ=="/>
  </w:docVars>
  <w:rsids>
    <w:rsidRoot w:val="2DD2413F"/>
    <w:rsid w:val="052F2A11"/>
    <w:rsid w:val="056972D1"/>
    <w:rsid w:val="056D12F2"/>
    <w:rsid w:val="0AEF146A"/>
    <w:rsid w:val="0B8E0BAA"/>
    <w:rsid w:val="1FA61F34"/>
    <w:rsid w:val="23651074"/>
    <w:rsid w:val="27C93315"/>
    <w:rsid w:val="284C22EB"/>
    <w:rsid w:val="2A1003D2"/>
    <w:rsid w:val="2DD2413F"/>
    <w:rsid w:val="341B17DA"/>
    <w:rsid w:val="366A4BA7"/>
    <w:rsid w:val="3A164670"/>
    <w:rsid w:val="3ABB1BED"/>
    <w:rsid w:val="3CA327E3"/>
    <w:rsid w:val="4407242C"/>
    <w:rsid w:val="4A8806B9"/>
    <w:rsid w:val="4D7F3ADE"/>
    <w:rsid w:val="520F4874"/>
    <w:rsid w:val="5C4F1406"/>
    <w:rsid w:val="5FC31187"/>
    <w:rsid w:val="61BE602D"/>
    <w:rsid w:val="726D4F3E"/>
    <w:rsid w:val="740A4E03"/>
    <w:rsid w:val="79CD6CC2"/>
    <w:rsid w:val="7A2D76AE"/>
    <w:rsid w:val="7C350B27"/>
    <w:rsid w:val="7EF4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next w:val="3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Body Text"/>
    <w:basedOn w:val="1"/>
    <w:next w:val="1"/>
    <w:qFormat/>
    <w:uiPriority w:val="99"/>
    <w:pPr>
      <w:spacing w:line="360" w:lineRule="auto"/>
    </w:pPr>
    <w:rPr>
      <w:rFonts w:ascii="楷体_GB2312" w:hAnsi="宋体" w:eastAsia="楷体_GB2312"/>
      <w:sz w:val="28"/>
      <w:szCs w:val="2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2028</Words>
  <Characters>2144</Characters>
  <Lines>0</Lines>
  <Paragraphs>0</Paragraphs>
  <TotalTime>3</TotalTime>
  <ScaleCrop>false</ScaleCrop>
  <LinksUpToDate>false</LinksUpToDate>
  <CharactersWithSpaces>2148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2022-12-08T03:22:00Z</dcterms:created>
  <dc:creator>Administrator</dc:creator>
  <cp:lastModifiedBy>王胜琴</cp:lastModifiedBy>
  <dcterms:modified xsi:type="dcterms:W3CDTF">2023-01-04T09:10:38Z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A9A770A76678452E8883CAE91E8EA440</vt:lpwstr>
  </property>
</Properties>
</file>