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06" w:beforeAutospacing="0" w:after="106" w:afterAutospacing="0" w:line="360" w:lineRule="atLeast"/>
        <w:rPr>
          <w:rFonts w:ascii="仿宋" w:hAnsi="仿宋" w:eastAsia="仿宋" w:cs="仿宋"/>
          <w:b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仿宋" w:hAnsi="仿宋" w:eastAsia="仿宋" w:cs="仿宋"/>
          <w:b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二：</w:t>
      </w:r>
      <w:r>
        <w:rPr>
          <w:rFonts w:ascii="仿宋" w:hAnsi="仿宋" w:eastAsia="仿宋" w:cs="仿宋"/>
          <w:b/>
          <w:sz w:val="28"/>
          <w:szCs w:val="28"/>
          <w:shd w:val="clear" w:color="auto" w:fill="FFFFFF"/>
        </w:rPr>
        <w:t>评分办法</w:t>
      </w:r>
    </w:p>
    <w:p>
      <w:pPr>
        <w:ind w:firstLine="440" w:firstLineChars="200"/>
        <w:rPr>
          <w:rFonts w:ascii="宋体" w:hAnsi="宋体" w:cs="宋体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本项目评审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的具体办法为综合评分法----指投标文件经初步审查合格的要求前提下，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评审小组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按照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采购公告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中规定的各项因素对其进行评比、打分。评分计算保留2位小数，第三位小数四舍五入。评分按报价部分、商务部分及技术部分分别进行，计算出各合格供应商的综合得分，总分为100分，评分方法的内容和标准如综合评分表所示：</w:t>
      </w:r>
    </w:p>
    <w:tbl>
      <w:tblPr>
        <w:tblStyle w:val="3"/>
        <w:tblW w:w="91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949"/>
        <w:gridCol w:w="866"/>
        <w:gridCol w:w="62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  <w:t>评标项目</w:t>
            </w:r>
          </w:p>
        </w:tc>
        <w:tc>
          <w:tcPr>
            <w:tcW w:w="624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  <w:t>评分内容及打分办法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8" w:type="dxa"/>
            <w:vAlign w:val="center"/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报价部分（10分）</w:t>
            </w:r>
          </w:p>
        </w:tc>
        <w:tc>
          <w:tcPr>
            <w:tcW w:w="94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投标报价</w:t>
            </w:r>
          </w:p>
        </w:tc>
        <w:tc>
          <w:tcPr>
            <w:tcW w:w="866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10分</w:t>
            </w:r>
          </w:p>
        </w:tc>
        <w:tc>
          <w:tcPr>
            <w:tcW w:w="6247" w:type="dxa"/>
            <w:vAlign w:val="center"/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报价分统一采用基准价法计算，通过初步评审的所有投标供应商的最终报价（满足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采购公告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要求），取所有有效投标价格的最低报价为评标基准价，各投标供应商的价格分统一按照下列公式计算：</w:t>
            </w:r>
          </w:p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报价得分＝（评标基准价÷本投标供应商投标价）×10。</w:t>
            </w:r>
          </w:p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1、评标基准价指满足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采购公告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要求且最后报价最低的供应商的价格；</w:t>
            </w:r>
          </w:p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2、得分取两位小数点，第三位四舍五入；</w:t>
            </w:r>
          </w:p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3、超过最高限价的投标报价为无效报价；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118" w:type="dxa"/>
            <w:vMerge w:val="restart"/>
            <w:vAlign w:val="center"/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技术部分（60分）</w:t>
            </w:r>
          </w:p>
        </w:tc>
        <w:tc>
          <w:tcPr>
            <w:tcW w:w="94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技术参数要求评价分</w:t>
            </w:r>
          </w:p>
        </w:tc>
        <w:tc>
          <w:tcPr>
            <w:tcW w:w="866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30分</w:t>
            </w:r>
          </w:p>
        </w:tc>
        <w:tc>
          <w:tcPr>
            <w:tcW w:w="6247" w:type="dxa"/>
            <w:vAlign w:val="center"/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根据供应商响应文件中针对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采购公告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“技术需求”的响应情况进行评审：</w:t>
            </w:r>
          </w:p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(1)技术响应完全满足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采购公告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“技术需求”内容条款得30分；</w:t>
            </w:r>
          </w:p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(2)技术响应不满足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采购公告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“技术需求” 中条款的：在30分基础上扣减：“★”项3分/条；非“★”项1分/条；累计扣减，扣到0分为止。</w:t>
            </w:r>
          </w:p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注 ：</w:t>
            </w:r>
          </w:p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①供应商须如实填写“技术需求响应情况表”,对应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采购公告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技术需求情况填写“满足”或“不满足”,并加盖供应商单位公章。</w:t>
            </w:r>
          </w:p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②供应商须对“技术需求响应情况表”的真实性进行承诺，未提供承诺函的，本项均不得分。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949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</w:p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en-US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实施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en-US"/>
              </w:rPr>
              <w:t>方案</w:t>
            </w:r>
          </w:p>
        </w:tc>
        <w:tc>
          <w:tcPr>
            <w:tcW w:w="866" w:type="dxa"/>
            <w:tcBorders>
              <w:left w:val="single" w:color="auto" w:sz="4" w:space="0"/>
            </w:tcBorders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</w:p>
          <w:p>
            <w:pPr>
              <w:rPr>
                <w:rFonts w:ascii="宋体" w:hAnsi="宋体" w:cs="宋体"/>
                <w:color w:val="auto"/>
                <w:highlight w:val="none"/>
              </w:rPr>
            </w:pPr>
          </w:p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10分</w:t>
            </w:r>
          </w:p>
        </w:tc>
        <w:tc>
          <w:tcPr>
            <w:tcW w:w="6247" w:type="dxa"/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根据整体服务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实施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方案、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质量保障措施、进度保障措施的合理性，工作组织流程的清晰程度进行评分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 xml:space="preserve">。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好：10分，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较好：7分，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一般：4分，差：0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949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应急方案及售后服务方案</w:t>
            </w:r>
          </w:p>
        </w:tc>
        <w:tc>
          <w:tcPr>
            <w:tcW w:w="866" w:type="dxa"/>
            <w:tcBorders>
              <w:left w:val="single" w:color="auto" w:sz="4" w:space="0"/>
            </w:tcBorders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</w:p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10分</w:t>
            </w:r>
          </w:p>
        </w:tc>
        <w:tc>
          <w:tcPr>
            <w:tcW w:w="6247" w:type="dxa"/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根据方案的合理性、可行性等方面：好：10分，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较好：7分，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一般：4分，差：0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949" w:type="dxa"/>
            <w:tcBorders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</w:p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en-US"/>
              </w:rPr>
              <w:t>供应商阐述</w:t>
            </w:r>
          </w:p>
        </w:tc>
        <w:tc>
          <w:tcPr>
            <w:tcW w:w="866" w:type="dxa"/>
            <w:tcBorders>
              <w:left w:val="single" w:color="auto" w:sz="4" w:space="0"/>
            </w:tcBorders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</w:p>
          <w:p>
            <w:pPr>
              <w:rPr>
                <w:rFonts w:ascii="宋体" w:hAnsi="宋体" w:cs="宋体"/>
                <w:color w:val="auto"/>
                <w:highlight w:val="none"/>
              </w:rPr>
            </w:pPr>
          </w:p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10分</w:t>
            </w:r>
          </w:p>
        </w:tc>
        <w:tc>
          <w:tcPr>
            <w:tcW w:w="6247" w:type="dxa"/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供应商围绕本项目技术需求进行阐述和“★”项系统功能演示，评审委员会根据阐述及演示情况结合现场提问酌情打分。好：10分，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较好：7分，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一般：4分，差：0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。</w:t>
            </w:r>
          </w:p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注：1.阐述及演示时间控制在15分钟之内，回答评委提问不含在内；</w:t>
            </w:r>
          </w:p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2.阐述前需提供供应商为阐述人员出具的授权委托书，若未提供，拒绝其阐述；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11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商务部分（30分）</w:t>
            </w:r>
          </w:p>
        </w:tc>
        <w:tc>
          <w:tcPr>
            <w:tcW w:w="94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项目负责人</w:t>
            </w:r>
          </w:p>
        </w:tc>
        <w:tc>
          <w:tcPr>
            <w:tcW w:w="866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10分</w:t>
            </w:r>
          </w:p>
        </w:tc>
        <w:tc>
          <w:tcPr>
            <w:tcW w:w="6247" w:type="dxa"/>
            <w:vAlign w:val="center"/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项目负责人(1人，满分10分)</w:t>
            </w:r>
          </w:p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(1)具有信息化相关专业中级及以上项目管理工程师相关专业证书；</w:t>
            </w:r>
          </w:p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(2)提供项目负责人的1.身份证复印件；2.相关专业证书复印件；提供不全不得分。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94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类似业绩</w:t>
            </w:r>
          </w:p>
        </w:tc>
        <w:tc>
          <w:tcPr>
            <w:tcW w:w="866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10分</w:t>
            </w:r>
          </w:p>
        </w:tc>
        <w:tc>
          <w:tcPr>
            <w:tcW w:w="6247" w:type="dxa"/>
            <w:vAlign w:val="center"/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每提供1个2022年1月1日至今的DRG医疗质量评价系统类似业绩得5分， 满分10分。</w:t>
            </w:r>
          </w:p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注 ：</w:t>
            </w:r>
          </w:p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1.类似业绩提供制造商或经销商或代理商的业绩均可；</w:t>
            </w:r>
          </w:p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2.合同签订时间须在2022年1月1日至今期间，须提供合同扫描件加盖供应商公章，未提供或提供不全不清晰的不得分；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94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en-US"/>
              </w:rPr>
              <w:t>质量认证</w:t>
            </w:r>
          </w:p>
        </w:tc>
        <w:tc>
          <w:tcPr>
            <w:tcW w:w="866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10分</w:t>
            </w:r>
          </w:p>
        </w:tc>
        <w:tc>
          <w:tcPr>
            <w:tcW w:w="6247" w:type="dxa"/>
            <w:vAlign w:val="center"/>
          </w:tcPr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1.投标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方提供所投系统产品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具有DRG系统相关软件著作权，得5分。</w:t>
            </w:r>
          </w:p>
          <w:p>
            <w:pPr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2.投标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方提供所投系统产品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有资质的第三方检测机构出具的DRG系统相关软件测试报告，得5分。（提供证书复印件并加盖公章）。</w:t>
            </w:r>
          </w:p>
        </w:tc>
      </w:tr>
    </w:tbl>
    <w:p>
      <w:pPr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各有效供应商的最后综合得分=报价得分+技术得分+商务得分</w:t>
      </w:r>
    </w:p>
    <w:p/>
    <w:sectPr>
      <w:pgSz w:w="11906" w:h="16838"/>
      <w:pgMar w:top="1440" w:right="12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9151E"/>
    <w:rsid w:val="7429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2026-05-22T07:15:00Z</dcterms:created>
  <dc:creator>高海涛</dc:creator>
  <cp:lastModifiedBy>高海涛</cp:lastModifiedBy>
  <dcterms:modified xsi:type="dcterms:W3CDTF">2026-05-22T07:53:51Z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580917E7D4CC4FC98E9A68F48B8EC11B</vt:lpwstr>
  </property>
</Properties>
</file>